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725" w:rsidRPr="00C11A20" w:rsidRDefault="00165962" w:rsidP="00C11A20">
      <w:pPr>
        <w:spacing w:after="100" w:line="480" w:lineRule="auto"/>
        <w:rPr>
          <w:rFonts w:ascii="Times New Roman" w:hAnsi="Times New Roman" w:cs="Times New Roman"/>
          <w:sz w:val="24"/>
          <w:szCs w:val="24"/>
        </w:rPr>
      </w:pPr>
      <w:r w:rsidRPr="00C11A20">
        <w:rPr>
          <w:rFonts w:ascii="Times New Roman" w:hAnsi="Times New Roman" w:cs="Times New Roman"/>
          <w:sz w:val="24"/>
          <w:szCs w:val="24"/>
        </w:rPr>
        <w:t xml:space="preserve">In this discussion, I will post concerning the Chinese Market. Considerably, the Chinese economy has experienced some recent economy fluctuations from the repercussions of the COVID 19 pandemic. It was an economy that was rapidly expanding before the pandemic. The continuous economic growth </w:t>
      </w:r>
      <w:r w:rsidR="00C8065C" w:rsidRPr="00C11A20">
        <w:rPr>
          <w:rFonts w:ascii="Times New Roman" w:hAnsi="Times New Roman" w:cs="Times New Roman"/>
          <w:sz w:val="24"/>
          <w:szCs w:val="24"/>
        </w:rPr>
        <w:t xml:space="preserve">and rapid expansion </w:t>
      </w:r>
      <w:r w:rsidRPr="00C11A20">
        <w:rPr>
          <w:rFonts w:ascii="Times New Roman" w:hAnsi="Times New Roman" w:cs="Times New Roman"/>
          <w:sz w:val="24"/>
          <w:szCs w:val="24"/>
        </w:rPr>
        <w:t xml:space="preserve">that the economy had witnessed </w:t>
      </w:r>
      <w:r w:rsidR="00C8065C" w:rsidRPr="00C11A20">
        <w:rPr>
          <w:rFonts w:ascii="Times New Roman" w:hAnsi="Times New Roman" w:cs="Times New Roman"/>
          <w:sz w:val="24"/>
          <w:szCs w:val="24"/>
        </w:rPr>
        <w:t xml:space="preserve">offered potentiality and immense prospects that were very lucrative for dong business. </w:t>
      </w:r>
    </w:p>
    <w:p w:rsidR="00C8065C" w:rsidRPr="00C11A20" w:rsidRDefault="00C8065C" w:rsidP="00C11A20">
      <w:pPr>
        <w:spacing w:after="100" w:line="480" w:lineRule="auto"/>
        <w:ind w:firstLine="0"/>
        <w:rPr>
          <w:rFonts w:ascii="Times New Roman" w:hAnsi="Times New Roman" w:cs="Times New Roman"/>
          <w:sz w:val="24"/>
          <w:szCs w:val="24"/>
        </w:rPr>
      </w:pPr>
      <w:r w:rsidRPr="00C11A20">
        <w:rPr>
          <w:rFonts w:ascii="Times New Roman" w:hAnsi="Times New Roman" w:cs="Times New Roman"/>
          <w:sz w:val="24"/>
          <w:szCs w:val="24"/>
        </w:rPr>
        <w:tab/>
        <w:t xml:space="preserve">Entering a new market is really not an easy thing as one might not be aware of the risks and uncertainties of the latter. </w:t>
      </w:r>
      <w:r w:rsidR="00E71612" w:rsidRPr="00C11A20">
        <w:rPr>
          <w:rFonts w:ascii="Times New Roman" w:hAnsi="Times New Roman" w:cs="Times New Roman"/>
          <w:sz w:val="24"/>
          <w:szCs w:val="24"/>
        </w:rPr>
        <w:t xml:space="preserve">Choosing the right entry strategy is not easy. Some other ups and downs that might be faced include insufficient or incorrect market information, minimal access to supply and distribution </w:t>
      </w:r>
      <w:r w:rsidR="00A46D3C" w:rsidRPr="00C11A20">
        <w:rPr>
          <w:rFonts w:ascii="Times New Roman" w:hAnsi="Times New Roman" w:cs="Times New Roman"/>
          <w:sz w:val="24"/>
          <w:szCs w:val="24"/>
        </w:rPr>
        <w:t xml:space="preserve">channels, hectic developing strategic partners, and cultural challenges. </w:t>
      </w:r>
    </w:p>
    <w:p w:rsidR="00A46D3C" w:rsidRPr="00C11A20" w:rsidRDefault="00A46D3C" w:rsidP="00C11A20">
      <w:pPr>
        <w:spacing w:after="100" w:line="480" w:lineRule="auto"/>
        <w:ind w:firstLine="0"/>
        <w:rPr>
          <w:rFonts w:ascii="Times New Roman" w:hAnsi="Times New Roman" w:cs="Times New Roman"/>
          <w:sz w:val="24"/>
          <w:szCs w:val="24"/>
        </w:rPr>
      </w:pPr>
      <w:r w:rsidRPr="00C11A20">
        <w:rPr>
          <w:rFonts w:ascii="Times New Roman" w:hAnsi="Times New Roman" w:cs="Times New Roman"/>
          <w:sz w:val="24"/>
          <w:szCs w:val="24"/>
        </w:rPr>
        <w:tab/>
        <w:t xml:space="preserve">Companies from the west have always found some ways to seize their positions in these market. </w:t>
      </w:r>
      <w:r w:rsidR="00DE0DBC" w:rsidRPr="00C11A20">
        <w:rPr>
          <w:rFonts w:ascii="Times New Roman" w:hAnsi="Times New Roman" w:cs="Times New Roman"/>
          <w:sz w:val="24"/>
          <w:szCs w:val="24"/>
        </w:rPr>
        <w:t>The modes of financing this investment would be individual assets such as savings, loans from overseas that are facilitated by the State Foreign Exchange Bureau (SAFE), and SME bank loans</w:t>
      </w:r>
      <w:r w:rsidR="00C11A20" w:rsidRPr="00C11A20">
        <w:rPr>
          <w:rFonts w:ascii="Times New Roman" w:hAnsi="Times New Roman" w:cs="Times New Roman"/>
          <w:sz w:val="24"/>
          <w:szCs w:val="24"/>
        </w:rPr>
        <w:t xml:space="preserve"> (</w:t>
      </w:r>
      <w:r w:rsidR="00C11A20" w:rsidRPr="00C11A20">
        <w:rPr>
          <w:rFonts w:ascii="Times New Roman" w:hAnsi="Times New Roman" w:cs="Times New Roman"/>
          <w:sz w:val="24"/>
          <w:szCs w:val="24"/>
        </w:rPr>
        <w:t xml:space="preserve">Foreign </w:t>
      </w:r>
      <w:r w:rsidR="00C11A20" w:rsidRPr="00C11A20">
        <w:rPr>
          <w:rFonts w:ascii="Times New Roman" w:hAnsi="Times New Roman" w:cs="Times New Roman"/>
          <w:sz w:val="24"/>
          <w:szCs w:val="24"/>
        </w:rPr>
        <w:t xml:space="preserve">Investment Financing in China, </w:t>
      </w:r>
      <w:proofErr w:type="spellStart"/>
      <w:r w:rsidR="00C11A20" w:rsidRPr="00C11A20">
        <w:rPr>
          <w:rFonts w:ascii="Times New Roman" w:hAnsi="Times New Roman" w:cs="Times New Roman"/>
          <w:sz w:val="24"/>
          <w:szCs w:val="24"/>
        </w:rPr>
        <w:t>n.d.</w:t>
      </w:r>
      <w:proofErr w:type="spellEnd"/>
      <w:r w:rsidR="00C11A20" w:rsidRPr="00C11A20">
        <w:rPr>
          <w:rFonts w:ascii="Times New Roman" w:hAnsi="Times New Roman" w:cs="Times New Roman"/>
          <w:sz w:val="24"/>
          <w:szCs w:val="24"/>
        </w:rPr>
        <w:t>)</w:t>
      </w:r>
      <w:r w:rsidR="00DE0DBC" w:rsidRPr="00C11A20">
        <w:rPr>
          <w:rFonts w:ascii="Times New Roman" w:hAnsi="Times New Roman" w:cs="Times New Roman"/>
          <w:sz w:val="24"/>
          <w:szCs w:val="24"/>
        </w:rPr>
        <w:t xml:space="preserve">. </w:t>
      </w:r>
      <w:r w:rsidR="00ED4335" w:rsidRPr="00C11A20">
        <w:rPr>
          <w:rFonts w:ascii="Times New Roman" w:hAnsi="Times New Roman" w:cs="Times New Roman"/>
          <w:sz w:val="24"/>
          <w:szCs w:val="24"/>
        </w:rPr>
        <w:t>In China, SAFE allows Foreign Invested Companies (FIE) to borrow a certain amount of FS loans from overseas. There are conditions to it, for instance, the maximum a FIE can borrow overseas is the total investment (registered capital). Loans beyond this amount are declined</w:t>
      </w:r>
      <w:r w:rsidR="00C11A20" w:rsidRPr="00C11A20">
        <w:rPr>
          <w:rFonts w:ascii="Times New Roman" w:hAnsi="Times New Roman" w:cs="Times New Roman"/>
          <w:sz w:val="24"/>
          <w:szCs w:val="24"/>
        </w:rPr>
        <w:t xml:space="preserve"> (</w:t>
      </w:r>
      <w:proofErr w:type="spellStart"/>
      <w:r w:rsidR="00C11A20" w:rsidRPr="00C11A20">
        <w:rPr>
          <w:rFonts w:ascii="Times New Roman" w:hAnsi="Times New Roman" w:cs="Times New Roman"/>
          <w:color w:val="222222"/>
          <w:sz w:val="24"/>
          <w:szCs w:val="24"/>
          <w:shd w:val="clear" w:color="auto" w:fill="FFFFFF"/>
        </w:rPr>
        <w:t>Girma</w:t>
      </w:r>
      <w:proofErr w:type="spellEnd"/>
      <w:r w:rsidR="00C11A20" w:rsidRPr="00C11A20">
        <w:rPr>
          <w:rFonts w:ascii="Times New Roman" w:hAnsi="Times New Roman" w:cs="Times New Roman"/>
          <w:color w:val="222222"/>
          <w:sz w:val="24"/>
          <w:szCs w:val="24"/>
          <w:shd w:val="clear" w:color="auto" w:fill="FFFFFF"/>
        </w:rPr>
        <w:t xml:space="preserve"> et al., 2008)</w:t>
      </w:r>
      <w:r w:rsidR="00ED4335" w:rsidRPr="00C11A20">
        <w:rPr>
          <w:rFonts w:ascii="Times New Roman" w:hAnsi="Times New Roman" w:cs="Times New Roman"/>
          <w:sz w:val="24"/>
          <w:szCs w:val="24"/>
        </w:rPr>
        <w:t xml:space="preserve">. For that matter FIE in China take total investments very serious. The SME loans have condition fixed by the bank at hand. </w:t>
      </w:r>
    </w:p>
    <w:p w:rsidR="00ED4335" w:rsidRPr="00C11A20" w:rsidRDefault="00ED4335" w:rsidP="00C11A20">
      <w:pPr>
        <w:spacing w:after="100" w:line="480" w:lineRule="auto"/>
        <w:ind w:firstLine="0"/>
        <w:rPr>
          <w:rFonts w:ascii="Times New Roman" w:hAnsi="Times New Roman" w:cs="Times New Roman"/>
          <w:sz w:val="24"/>
          <w:szCs w:val="24"/>
        </w:rPr>
      </w:pPr>
      <w:r w:rsidRPr="00C11A20">
        <w:rPr>
          <w:rFonts w:ascii="Times New Roman" w:hAnsi="Times New Roman" w:cs="Times New Roman"/>
          <w:sz w:val="24"/>
          <w:szCs w:val="24"/>
        </w:rPr>
        <w:tab/>
      </w:r>
      <w:r w:rsidRPr="00C11A20">
        <w:rPr>
          <w:rFonts w:ascii="Times New Roman" w:hAnsi="Times New Roman" w:cs="Times New Roman"/>
          <w:sz w:val="24"/>
          <w:szCs w:val="24"/>
        </w:rPr>
        <w:t xml:space="preserve">Multinational </w:t>
      </w:r>
      <w:r w:rsidR="00C11A20" w:rsidRPr="00C11A20">
        <w:rPr>
          <w:rFonts w:ascii="Times New Roman" w:hAnsi="Times New Roman" w:cs="Times New Roman"/>
          <w:sz w:val="24"/>
          <w:szCs w:val="24"/>
        </w:rPr>
        <w:t>firms’</w:t>
      </w:r>
      <w:r w:rsidRPr="00C11A20">
        <w:rPr>
          <w:rFonts w:ascii="Times New Roman" w:hAnsi="Times New Roman" w:cs="Times New Roman"/>
          <w:sz w:val="24"/>
          <w:szCs w:val="24"/>
        </w:rPr>
        <w:t xml:space="preserve"> </w:t>
      </w:r>
      <w:r w:rsidR="00C11A20" w:rsidRPr="00C11A20">
        <w:rPr>
          <w:rFonts w:ascii="Times New Roman" w:hAnsi="Times New Roman" w:cs="Times New Roman"/>
          <w:sz w:val="24"/>
          <w:szCs w:val="24"/>
        </w:rPr>
        <w:t>usually have</w:t>
      </w:r>
      <w:r w:rsidRPr="00C11A20">
        <w:rPr>
          <w:rFonts w:ascii="Times New Roman" w:hAnsi="Times New Roman" w:cs="Times New Roman"/>
          <w:sz w:val="24"/>
          <w:szCs w:val="24"/>
        </w:rPr>
        <w:t xml:space="preserve"> several alternatives to fi</w:t>
      </w:r>
      <w:r w:rsidR="00C11A20" w:rsidRPr="00C11A20">
        <w:rPr>
          <w:rFonts w:ascii="Times New Roman" w:hAnsi="Times New Roman" w:cs="Times New Roman"/>
          <w:sz w:val="24"/>
          <w:szCs w:val="24"/>
        </w:rPr>
        <w:t>nance their foreign affiliates like raising</w:t>
      </w:r>
      <w:r w:rsidRPr="00C11A20">
        <w:rPr>
          <w:rFonts w:ascii="Times New Roman" w:hAnsi="Times New Roman" w:cs="Times New Roman"/>
          <w:sz w:val="24"/>
          <w:szCs w:val="24"/>
        </w:rPr>
        <w:t xml:space="preserve"> the equity capital or to borrow; to raise the money in </w:t>
      </w:r>
      <w:r w:rsidR="00C11A20" w:rsidRPr="00C11A20">
        <w:rPr>
          <w:rFonts w:ascii="Times New Roman" w:hAnsi="Times New Roman" w:cs="Times New Roman"/>
          <w:sz w:val="24"/>
          <w:szCs w:val="24"/>
        </w:rPr>
        <w:t>China</w:t>
      </w:r>
      <w:r w:rsidRPr="00C11A20">
        <w:rPr>
          <w:rFonts w:ascii="Times New Roman" w:hAnsi="Times New Roman" w:cs="Times New Roman"/>
          <w:sz w:val="24"/>
          <w:szCs w:val="24"/>
        </w:rPr>
        <w:t xml:space="preserve"> or in the local market; and which currency is going to be used</w:t>
      </w:r>
      <w:r w:rsidR="00C11A20" w:rsidRPr="00C11A20">
        <w:rPr>
          <w:rFonts w:ascii="Times New Roman" w:hAnsi="Times New Roman" w:cs="Times New Roman"/>
          <w:sz w:val="24"/>
          <w:szCs w:val="24"/>
        </w:rPr>
        <w:t xml:space="preserve"> (</w:t>
      </w:r>
      <w:r w:rsidR="00C11A20" w:rsidRPr="00C11A20">
        <w:rPr>
          <w:rFonts w:ascii="Times New Roman" w:hAnsi="Times New Roman" w:cs="Times New Roman"/>
          <w:color w:val="222222"/>
          <w:sz w:val="24"/>
          <w:szCs w:val="24"/>
          <w:shd w:val="clear" w:color="auto" w:fill="FFFFFF"/>
        </w:rPr>
        <w:t>Elliott</w:t>
      </w:r>
      <w:r w:rsidR="00C11A20" w:rsidRPr="00C11A20">
        <w:rPr>
          <w:rFonts w:ascii="Times New Roman" w:hAnsi="Times New Roman" w:cs="Times New Roman"/>
          <w:color w:val="222222"/>
          <w:sz w:val="24"/>
          <w:szCs w:val="24"/>
          <w:shd w:val="clear" w:color="auto" w:fill="FFFFFF"/>
        </w:rPr>
        <w:t>, 2013)</w:t>
      </w:r>
      <w:r w:rsidRPr="00C11A20">
        <w:rPr>
          <w:rFonts w:ascii="Times New Roman" w:hAnsi="Times New Roman" w:cs="Times New Roman"/>
          <w:sz w:val="24"/>
          <w:szCs w:val="24"/>
        </w:rPr>
        <w:t xml:space="preserve">. In reality, however, it is often difficult for </w:t>
      </w:r>
      <w:r w:rsidRPr="00C11A20">
        <w:rPr>
          <w:rFonts w:ascii="Times New Roman" w:hAnsi="Times New Roman" w:cs="Times New Roman"/>
          <w:sz w:val="24"/>
          <w:szCs w:val="24"/>
        </w:rPr>
        <w:lastRenderedPageBreak/>
        <w:t>foreign affiliates to raise the equity capital in the local market, thus the</w:t>
      </w:r>
      <w:r w:rsidR="00C11A20" w:rsidRPr="00C11A20">
        <w:rPr>
          <w:rFonts w:ascii="Times New Roman" w:hAnsi="Times New Roman" w:cs="Times New Roman"/>
          <w:sz w:val="24"/>
          <w:szCs w:val="24"/>
        </w:rPr>
        <w:t xml:space="preserve">y would rely on borrowing there, like for my case above. </w:t>
      </w:r>
    </w:p>
    <w:p w:rsidR="00C11A20" w:rsidRPr="00C11A20" w:rsidRDefault="00C11A20" w:rsidP="00C11A20">
      <w:pPr>
        <w:spacing w:after="100" w:line="480" w:lineRule="auto"/>
        <w:ind w:firstLine="0"/>
        <w:jc w:val="center"/>
        <w:rPr>
          <w:rFonts w:ascii="Times New Roman" w:hAnsi="Times New Roman" w:cs="Times New Roman"/>
          <w:sz w:val="24"/>
          <w:szCs w:val="24"/>
        </w:rPr>
      </w:pPr>
      <w:r w:rsidRPr="00C11A20">
        <w:rPr>
          <w:rFonts w:ascii="Times New Roman" w:hAnsi="Times New Roman" w:cs="Times New Roman"/>
          <w:sz w:val="24"/>
          <w:szCs w:val="24"/>
        </w:rPr>
        <w:t>Reference</w:t>
      </w:r>
      <w:r>
        <w:rPr>
          <w:rFonts w:ascii="Times New Roman" w:hAnsi="Times New Roman" w:cs="Times New Roman"/>
          <w:sz w:val="24"/>
          <w:szCs w:val="24"/>
        </w:rPr>
        <w:t>s</w:t>
      </w:r>
    </w:p>
    <w:p w:rsidR="00C11A20" w:rsidRPr="00C11A20" w:rsidRDefault="00C11A20" w:rsidP="00C11A20">
      <w:pPr>
        <w:spacing w:after="100" w:line="480" w:lineRule="auto"/>
        <w:ind w:left="720" w:hanging="720"/>
        <w:rPr>
          <w:rFonts w:ascii="Times New Roman" w:hAnsi="Times New Roman" w:cs="Times New Roman"/>
          <w:color w:val="222222"/>
          <w:sz w:val="24"/>
          <w:szCs w:val="24"/>
          <w:shd w:val="clear" w:color="auto" w:fill="FFFFFF"/>
        </w:rPr>
      </w:pPr>
      <w:r w:rsidRPr="00C11A20">
        <w:rPr>
          <w:rFonts w:ascii="Times New Roman" w:hAnsi="Times New Roman" w:cs="Times New Roman"/>
          <w:color w:val="222222"/>
          <w:sz w:val="24"/>
          <w:szCs w:val="24"/>
          <w:shd w:val="clear" w:color="auto" w:fill="FFFFFF"/>
        </w:rPr>
        <w:t>Elliott, D. J., &amp; Yan, K. (2013). </w:t>
      </w:r>
      <w:r w:rsidRPr="00C11A20">
        <w:rPr>
          <w:rFonts w:ascii="Times New Roman" w:hAnsi="Times New Roman" w:cs="Times New Roman"/>
          <w:i/>
          <w:iCs/>
          <w:color w:val="222222"/>
          <w:sz w:val="24"/>
          <w:szCs w:val="24"/>
          <w:shd w:val="clear" w:color="auto" w:fill="FFFFFF"/>
        </w:rPr>
        <w:t>The Chinese financial system: An introduction and overview</w:t>
      </w:r>
      <w:r w:rsidRPr="00C11A20">
        <w:rPr>
          <w:rFonts w:ascii="Times New Roman" w:hAnsi="Times New Roman" w:cs="Times New Roman"/>
          <w:color w:val="222222"/>
          <w:sz w:val="24"/>
          <w:szCs w:val="24"/>
          <w:shd w:val="clear" w:color="auto" w:fill="FFFFFF"/>
        </w:rPr>
        <w:t>. Brookings Institution.</w:t>
      </w:r>
    </w:p>
    <w:p w:rsidR="00C11A20" w:rsidRPr="00C11A20" w:rsidRDefault="00C11A20" w:rsidP="00C11A20">
      <w:pPr>
        <w:spacing w:after="100" w:line="480" w:lineRule="auto"/>
        <w:ind w:left="720" w:hanging="720"/>
        <w:rPr>
          <w:rFonts w:ascii="Times New Roman" w:hAnsi="Times New Roman" w:cs="Times New Roman"/>
          <w:sz w:val="24"/>
          <w:szCs w:val="24"/>
        </w:rPr>
      </w:pPr>
      <w:r w:rsidRPr="00C11A20">
        <w:rPr>
          <w:rFonts w:ascii="Times New Roman" w:hAnsi="Times New Roman" w:cs="Times New Roman"/>
          <w:sz w:val="24"/>
          <w:szCs w:val="24"/>
        </w:rPr>
        <w:t>Foreign Investment Financing in China. (</w:t>
      </w:r>
      <w:proofErr w:type="spellStart"/>
      <w:r w:rsidRPr="00C11A20">
        <w:rPr>
          <w:rFonts w:ascii="Times New Roman" w:hAnsi="Times New Roman" w:cs="Times New Roman"/>
          <w:sz w:val="24"/>
          <w:szCs w:val="24"/>
        </w:rPr>
        <w:t>n.d.</w:t>
      </w:r>
      <w:proofErr w:type="spellEnd"/>
      <w:r w:rsidRPr="00C11A20">
        <w:rPr>
          <w:rFonts w:ascii="Times New Roman" w:hAnsi="Times New Roman" w:cs="Times New Roman"/>
          <w:sz w:val="24"/>
          <w:szCs w:val="24"/>
        </w:rPr>
        <w:t xml:space="preserve">). Retrieved from </w:t>
      </w:r>
      <w:hyperlink r:id="rId4" w:history="1">
        <w:r w:rsidRPr="00C11A20">
          <w:rPr>
            <w:rStyle w:val="Hyperlink"/>
            <w:rFonts w:ascii="Times New Roman" w:hAnsi="Times New Roman" w:cs="Times New Roman"/>
            <w:sz w:val="24"/>
            <w:szCs w:val="24"/>
          </w:rPr>
          <w:t>http://ccilc.pt/wp-content/uploads/2017/07/eu_sme_centre_guideline_foreign_investment_financing_in_china_april_2014.pdf</w:t>
        </w:r>
      </w:hyperlink>
    </w:p>
    <w:p w:rsidR="00C11A20" w:rsidRPr="00C11A20" w:rsidRDefault="00C11A20" w:rsidP="00C11A20">
      <w:pPr>
        <w:spacing w:after="100" w:line="480" w:lineRule="auto"/>
        <w:ind w:left="720" w:hanging="720"/>
        <w:rPr>
          <w:rFonts w:ascii="Times New Roman" w:hAnsi="Times New Roman" w:cs="Times New Roman"/>
          <w:sz w:val="24"/>
          <w:szCs w:val="24"/>
        </w:rPr>
      </w:pPr>
      <w:proofErr w:type="spellStart"/>
      <w:r w:rsidRPr="00C11A20">
        <w:rPr>
          <w:rFonts w:ascii="Times New Roman" w:hAnsi="Times New Roman" w:cs="Times New Roman"/>
          <w:color w:val="222222"/>
          <w:sz w:val="24"/>
          <w:szCs w:val="24"/>
          <w:shd w:val="clear" w:color="auto" w:fill="FFFFFF"/>
        </w:rPr>
        <w:t>Girma</w:t>
      </w:r>
      <w:proofErr w:type="spellEnd"/>
      <w:r w:rsidRPr="00C11A20">
        <w:rPr>
          <w:rFonts w:ascii="Times New Roman" w:hAnsi="Times New Roman" w:cs="Times New Roman"/>
          <w:color w:val="222222"/>
          <w:sz w:val="24"/>
          <w:szCs w:val="24"/>
          <w:shd w:val="clear" w:color="auto" w:fill="FFFFFF"/>
        </w:rPr>
        <w:t xml:space="preserve">, S., Gong, Y., &amp; </w:t>
      </w:r>
      <w:proofErr w:type="spellStart"/>
      <w:r w:rsidRPr="00C11A20">
        <w:rPr>
          <w:rFonts w:ascii="Times New Roman" w:hAnsi="Times New Roman" w:cs="Times New Roman"/>
          <w:color w:val="222222"/>
          <w:sz w:val="24"/>
          <w:szCs w:val="24"/>
          <w:shd w:val="clear" w:color="auto" w:fill="FFFFFF"/>
        </w:rPr>
        <w:t>Görg</w:t>
      </w:r>
      <w:proofErr w:type="spellEnd"/>
      <w:r w:rsidRPr="00C11A20">
        <w:rPr>
          <w:rFonts w:ascii="Times New Roman" w:hAnsi="Times New Roman" w:cs="Times New Roman"/>
          <w:color w:val="222222"/>
          <w:sz w:val="24"/>
          <w:szCs w:val="24"/>
          <w:shd w:val="clear" w:color="auto" w:fill="FFFFFF"/>
        </w:rPr>
        <w:t>, H. (2008). Foreign direct investment, access to finance, and innovation activity in Chinese enterprises. </w:t>
      </w:r>
      <w:r w:rsidRPr="00C11A20">
        <w:rPr>
          <w:rFonts w:ascii="Times New Roman" w:hAnsi="Times New Roman" w:cs="Times New Roman"/>
          <w:i/>
          <w:iCs/>
          <w:color w:val="222222"/>
          <w:sz w:val="24"/>
          <w:szCs w:val="24"/>
          <w:shd w:val="clear" w:color="auto" w:fill="FFFFFF"/>
        </w:rPr>
        <w:t xml:space="preserve">The World </w:t>
      </w:r>
      <w:bookmarkStart w:id="0" w:name="_GoBack"/>
      <w:bookmarkEnd w:id="0"/>
      <w:r w:rsidRPr="00C11A20">
        <w:rPr>
          <w:rFonts w:ascii="Times New Roman" w:hAnsi="Times New Roman" w:cs="Times New Roman"/>
          <w:i/>
          <w:iCs/>
          <w:color w:val="222222"/>
          <w:sz w:val="24"/>
          <w:szCs w:val="24"/>
          <w:shd w:val="clear" w:color="auto" w:fill="FFFFFF"/>
        </w:rPr>
        <w:t>Bank Economic Review</w:t>
      </w:r>
      <w:r w:rsidRPr="00C11A20">
        <w:rPr>
          <w:rFonts w:ascii="Times New Roman" w:hAnsi="Times New Roman" w:cs="Times New Roman"/>
          <w:color w:val="222222"/>
          <w:sz w:val="24"/>
          <w:szCs w:val="24"/>
          <w:shd w:val="clear" w:color="auto" w:fill="FFFFFF"/>
        </w:rPr>
        <w:t>, </w:t>
      </w:r>
      <w:r w:rsidRPr="00C11A20">
        <w:rPr>
          <w:rFonts w:ascii="Times New Roman" w:hAnsi="Times New Roman" w:cs="Times New Roman"/>
          <w:i/>
          <w:iCs/>
          <w:color w:val="222222"/>
          <w:sz w:val="24"/>
          <w:szCs w:val="24"/>
          <w:shd w:val="clear" w:color="auto" w:fill="FFFFFF"/>
        </w:rPr>
        <w:t>22</w:t>
      </w:r>
      <w:r w:rsidRPr="00C11A20">
        <w:rPr>
          <w:rFonts w:ascii="Times New Roman" w:hAnsi="Times New Roman" w:cs="Times New Roman"/>
          <w:color w:val="222222"/>
          <w:sz w:val="24"/>
          <w:szCs w:val="24"/>
          <w:shd w:val="clear" w:color="auto" w:fill="FFFFFF"/>
        </w:rPr>
        <w:t>(2), 367-382.</w:t>
      </w:r>
    </w:p>
    <w:p w:rsidR="00C11A20" w:rsidRPr="00C11A20" w:rsidRDefault="00C11A20" w:rsidP="00C11A20">
      <w:pPr>
        <w:spacing w:after="100" w:line="480" w:lineRule="auto"/>
        <w:ind w:firstLine="0"/>
        <w:rPr>
          <w:rFonts w:ascii="Times New Roman" w:hAnsi="Times New Roman" w:cs="Times New Roman"/>
          <w:sz w:val="24"/>
          <w:szCs w:val="24"/>
        </w:rPr>
      </w:pPr>
    </w:p>
    <w:sectPr w:rsidR="00C11A20" w:rsidRPr="00C11A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962"/>
    <w:rsid w:val="00165962"/>
    <w:rsid w:val="00A46D3C"/>
    <w:rsid w:val="00B72725"/>
    <w:rsid w:val="00C11A20"/>
    <w:rsid w:val="00C8065C"/>
    <w:rsid w:val="00DE0DBC"/>
    <w:rsid w:val="00E71612"/>
    <w:rsid w:val="00ED4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3DA76D-642A-4C05-BB0D-E4B49313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1A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cilc.pt/wp-content/uploads/2017/07/eu_sme_centre_guideline_foreign_investment_financing_in_china_april_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2020-05-01T15:10:00Z</dcterms:created>
  <dcterms:modified xsi:type="dcterms:W3CDTF">2020-05-01T16:47:00Z</dcterms:modified>
</cp:coreProperties>
</file>